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87C7F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beforeAutospacing="0" w:afterLines="0" w:afterAutospacing="0" w:line="360" w:lineRule="auto"/>
        <w:ind w:leftChars="0"/>
        <w:jc w:val="center"/>
        <w:textAlignment w:val="auto"/>
        <w:rPr>
          <w:rFonts w:hint="default" w:ascii="Times New Roman" w:hAnsi="Times New Roman" w:eastAsia="Times New Roman" w:cs="Times New Roman"/>
          <w:b/>
          <w:bCs w:val="0"/>
          <w:snapToGrid w:val="0"/>
          <w:color w:val="000000"/>
          <w:sz w:val="24"/>
          <w:szCs w:val="24"/>
          <w:lang w:val="en-US" w:eastAsia="zh-CN" w:bidi="en-US"/>
        </w:rPr>
      </w:pPr>
      <w:r>
        <w:rPr>
          <w:rFonts w:hint="default" w:ascii="Times New Roman" w:hAnsi="Times New Roman" w:eastAsia="Times New Roman" w:cs="Times New Roman"/>
          <w:b/>
          <w:bCs w:val="0"/>
          <w:snapToGrid w:val="0"/>
          <w:color w:val="000000"/>
          <w:sz w:val="24"/>
          <w:szCs w:val="24"/>
          <w:lang w:val="en-US" w:eastAsia="zh-CN" w:bidi="en-US"/>
        </w:rPr>
        <w:t>Integrative Network Pharmacology, Transcriptomics, scRNA-Seq, Machine Learning, and In Silico Knockout Elucidate Wendan Decoction's Regulatory Mechanisms in Gastric Cancer</w:t>
      </w:r>
    </w:p>
    <w:p w14:paraId="4BBFCF3A"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textAlignment w:val="auto"/>
        <w:rPr>
          <w:rFonts w:hint="default" w:ascii="Times New Roman" w:hAnsi="Times New Roman" w:cs="Times New Roman"/>
          <w:b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 w:val="0"/>
          <w:sz w:val="20"/>
          <w:szCs w:val="20"/>
        </w:rPr>
        <w:t xml:space="preserve">Yongzhi Qiao </w:t>
      </w:r>
      <w:r>
        <w:rPr>
          <w:rFonts w:hint="default" w:ascii="Times New Roman" w:hAnsi="Times New Roman" w:cs="Times New Roman"/>
          <w:b/>
          <w:bCs w:val="0"/>
          <w:sz w:val="20"/>
          <w:szCs w:val="20"/>
          <w:vertAlign w:val="superscript"/>
        </w:rPr>
        <w:t>1*</w:t>
      </w:r>
      <w:r>
        <w:rPr>
          <w:rFonts w:hint="default" w:ascii="Times New Roman" w:hAnsi="Times New Roman" w:cs="Times New Roman"/>
          <w:b/>
          <w:bCs w:val="0"/>
          <w:sz w:val="20"/>
          <w:szCs w:val="20"/>
        </w:rPr>
        <w:t xml:space="preserve">, Liya Liang </w:t>
      </w:r>
      <w:r>
        <w:rPr>
          <w:rFonts w:hint="default" w:ascii="Times New Roman" w:hAnsi="Times New Roman" w:cs="Times New Roman"/>
          <w:b/>
          <w:bCs w:val="0"/>
          <w:sz w:val="20"/>
          <w:szCs w:val="20"/>
          <w:vertAlign w:val="superscript"/>
        </w:rPr>
        <w:t>2</w:t>
      </w:r>
    </w:p>
    <w:p w14:paraId="187DB452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1 Department of pharmacy,</w:t>
      </w:r>
      <w:r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The fourth hospital of hebei medical university, Shijiazhuang, 050000, China;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fldChar w:fldCharType="begin"/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instrText xml:space="preserve"> HYPERLINK "mailto:qiaoyongzhi230@163.com" </w:instrTex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fldChar w:fldCharType="separate"/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qiaoyongzhi230@163.com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fldChar w:fldCharType="end"/>
      </w:r>
      <w:r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  <w:t xml:space="preserve">; </w:t>
      </w:r>
    </w:p>
    <w:p w14:paraId="297B75DF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firstLine="0"/>
        <w:textAlignment w:val="auto"/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2 Drug R&amp;D Department,</w:t>
      </w:r>
      <w:r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CSPC Ouyi Pharmaceutical Co., LTD, Shijiazhuang, 052160, China;</w:t>
      </w:r>
      <w:r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  <w:t xml:space="preserve"> 527270858@qq.com;</w:t>
      </w:r>
    </w:p>
    <w:p w14:paraId="67A324AE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firstLine="0"/>
        <w:textAlignment w:val="auto"/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 xml:space="preserve">*Corresponding author: Yongzhi Qiao, email: 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fldChar w:fldCharType="begin"/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instrText xml:space="preserve"> HYPERLINK "mailto:qiaoyongzhi230@163.com" </w:instrTex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fldChar w:fldCharType="separate"/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qiaoyongzhi230@163.com</w:t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fldChar w:fldCharType="end"/>
      </w:r>
      <w:r>
        <w:rPr>
          <w:rFonts w:hint="default" w:ascii="Times New Roman" w:hAnsi="Times New Roman" w:cs="Times New Roman"/>
          <w:b w:val="0"/>
          <w:bCs/>
          <w:sz w:val="20"/>
          <w:szCs w:val="20"/>
          <w:vertAlign w:val="baseline"/>
        </w:rPr>
        <w:t>;</w:t>
      </w:r>
      <w:r>
        <w:rPr>
          <w:rFonts w:hint="default" w:ascii="Times New Roman" w:hAnsi="Times New Roman" w:eastAsia="宋体" w:cs="Times New Roman"/>
          <w:b w:val="0"/>
          <w:bCs/>
          <w:sz w:val="20"/>
          <w:szCs w:val="20"/>
          <w:vertAlign w:val="baseline"/>
          <w:lang w:val="en-US" w:eastAsia="zh-CN"/>
        </w:rPr>
        <w:t xml:space="preserve"> 15932663703.</w:t>
      </w:r>
    </w:p>
    <w:p w14:paraId="63271984">
      <w:pPr>
        <w:widowControl/>
        <w:jc w:val="left"/>
        <w:rPr>
          <w:rFonts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  <w14:ligatures w14:val="standardContextual"/>
        </w:rPr>
        <w:br w:type="page"/>
      </w:r>
    </w:p>
    <w:p w14:paraId="0E3EA188">
      <w:pPr>
        <w:spacing w:line="360" w:lineRule="auto"/>
        <w:ind w:firstLine="480" w:firstLineChars="200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zh-CN"/>
        </w:rPr>
        <w:t xml:space="preserve">Table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en-US" w:eastAsia="zh-CN"/>
        </w:rPr>
        <w:t>S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zh-CN"/>
        </w:rPr>
        <w:t>1.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zh-CN"/>
        </w:rPr>
        <w:t xml:space="preserve"> The correspondence between herbs, their active ingredients, and their action targets.(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zh-CN"/>
        </w:rPr>
        <w:t>p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zh-CN"/>
        </w:rPr>
        <w:t>artial)</w:t>
      </w:r>
    </w:p>
    <w:tbl>
      <w:tblPr>
        <w:tblStyle w:val="5"/>
        <w:tblpPr w:leftFromText="180" w:rightFromText="180" w:vertAnchor="text" w:horzAnchor="page" w:tblpX="2170" w:tblpY="174"/>
        <w:tblOverlap w:val="never"/>
        <w:tblW w:w="778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296"/>
        <w:gridCol w:w="1306"/>
        <w:gridCol w:w="1100"/>
      </w:tblGrid>
      <w:tr w14:paraId="0EB563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7E777383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ar"/>
              </w:rPr>
              <w:t>Herb</w:t>
            </w:r>
          </w:p>
        </w:tc>
        <w:tc>
          <w:tcPr>
            <w:tcW w:w="429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6101B3DE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ar"/>
              </w:rPr>
              <w:t>Compound_Name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5C66C546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ar"/>
              </w:rPr>
              <w:t>Symbol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3DEB3C1B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000000"/>
                <w:kern w:val="0"/>
                <w:sz w:val="20"/>
                <w:szCs w:val="20"/>
                <w:lang w:bidi="ar"/>
              </w:rPr>
              <w:t>Database</w:t>
            </w:r>
          </w:p>
        </w:tc>
      </w:tr>
      <w:tr w14:paraId="42E8E8D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0F1E927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8FA1E0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C081DB0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CASP3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C573A4A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03E1E0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98E6791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C54EFA1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FFB3987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CHRFAM7A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A614FF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46961F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7F6528D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04294A5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DC17D28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CHRNA7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2C9A794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43A1103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E6993BD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202617E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208A0F2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CHRNA2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6C66C20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5BF828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94D4515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51B7B34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B6888BA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HTR3A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1D2605B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455EC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5FC0E8C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F67B9D0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70D9FB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CHRM2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6C1E7F4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19DD9B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428ADF8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46C2135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Dauricine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F6EEC3C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ACHE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F591350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74447C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6A0FA91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86B8392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Calcium (S)-2-Amino-3-Carboxypropanoate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E6662F0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ASPA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3D2DAB8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59FAC7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6CD5B76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6603C95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Calcium (S)-2-Amino-3-Carboxypropanoate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B617AFD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SLC25A13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543C6F3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  <w:tr w14:paraId="3FE3B7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23738E42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"/>
              </w:rPr>
              <w:t>Banxia</w:t>
            </w:r>
          </w:p>
        </w:tc>
        <w:tc>
          <w:tcPr>
            <w:tcW w:w="4296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2B4B3663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Calcium (S)-2-Amino-3-Carboxypropanoate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040F3148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DARS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625076E7">
            <w:pPr>
              <w:widowControl/>
              <w:spacing w:beforeLines="0" w:afterLine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bidi="ar"/>
              </w:rPr>
              <w:t>BATMAN</w:t>
            </w:r>
          </w:p>
        </w:tc>
      </w:tr>
    </w:tbl>
    <w:p w14:paraId="22BEEC67">
      <w:pPr>
        <w:spacing w:line="360" w:lineRule="auto"/>
        <w:jc w:val="both"/>
        <w:rPr>
          <w:rFonts w:hint="default" w:ascii="Times New Roman" w:hAnsi="Times New Roman" w:eastAsia="Times New Roman" w:cs="Times New Roman"/>
          <w:b/>
          <w:color w:val="auto"/>
          <w:sz w:val="20"/>
          <w:szCs w:val="20"/>
          <w:lang w:val="en-US" w:eastAsia="zh-CN"/>
        </w:rPr>
      </w:pPr>
    </w:p>
    <w:p w14:paraId="6CC41BCF">
      <w:pPr>
        <w:spacing w:line="360" w:lineRule="auto"/>
        <w:ind w:firstLine="480" w:firstLineChars="200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 xml:space="preserve">Table 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val="en-US" w:eastAsia="zh-CN"/>
        </w:rPr>
        <w:t>S</w:t>
      </w:r>
      <w:r>
        <w:rPr>
          <w:rFonts w:hint="default" w:ascii="Times New Roman" w:hAnsi="Times New Roman" w:eastAsia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>2.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 xml:space="preserve"> Statistical table of GC targets.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val="en-US" w:eastAsia="zh-CN"/>
        </w:rPr>
        <w:t xml:space="preserve"> 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>(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/>
          <w:lang w:eastAsia="zh-CN"/>
        </w:rPr>
        <w:t>p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auto"/>
          <w:lang w:eastAsia="zh-CN"/>
        </w:rPr>
        <w:t>artial)</w:t>
      </w:r>
    </w:p>
    <w:tbl>
      <w:tblPr>
        <w:tblStyle w:val="5"/>
        <w:tblW w:w="6662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4332"/>
      </w:tblGrid>
      <w:tr w14:paraId="2E06212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3AADC93B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b/>
                <w:bCs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sz w:val="20"/>
                <w:szCs w:val="20"/>
                <w:lang w:eastAsia="zh-CN" w:bidi="ar"/>
              </w:rPr>
              <w:t>Symbol</w:t>
            </w:r>
          </w:p>
        </w:tc>
        <w:tc>
          <w:tcPr>
            <w:tcW w:w="433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70390C01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b/>
                <w:bCs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sz w:val="20"/>
                <w:szCs w:val="20"/>
                <w:lang w:eastAsia="zh-CN" w:bidi="ar"/>
              </w:rPr>
              <w:t>db_count</w:t>
            </w:r>
          </w:p>
        </w:tc>
      </w:tr>
      <w:tr w14:paraId="275E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FE7BA54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MUTYH</w:t>
            </w:r>
          </w:p>
        </w:tc>
        <w:tc>
          <w:tcPr>
            <w:tcW w:w="4332" w:type="dxa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784ECE6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5DFDD7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BA7A3B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IL1B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27B7CA2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40C174A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54697A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IL1RN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4FDB04A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7D3308E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39C830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CASP10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287870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3E1FE7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D6DFA6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PIK3CA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3ECC12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21F967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D2343B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APC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A3CAC8B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1E60A18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506FAF3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IRF1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C7A6FDC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16DEB6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D9D4744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KLF6</w:t>
            </w:r>
          </w:p>
        </w:tc>
        <w:tc>
          <w:tcPr>
            <w:tcW w:w="433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43078A0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  <w:tr w14:paraId="35550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33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6BD77620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FGFR2</w:t>
            </w:r>
          </w:p>
        </w:tc>
        <w:tc>
          <w:tcPr>
            <w:tcW w:w="433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noWrap/>
            <w:vAlign w:val="center"/>
          </w:tcPr>
          <w:p w14:paraId="13B56EBD">
            <w:pPr>
              <w:spacing w:beforeLines="0" w:afterLines="0"/>
              <w:jc w:val="center"/>
              <w:textAlignment w:val="center"/>
              <w:rPr>
                <w:rFonts w:hint="default" w:ascii="Times New Roman" w:hAnsi="Times New Roman" w:eastAsia="Arial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Arial" w:cs="Times New Roman"/>
                <w:sz w:val="20"/>
                <w:szCs w:val="20"/>
                <w:lang w:eastAsia="zh-CN" w:bidi="ar"/>
              </w:rPr>
              <w:t>4</w:t>
            </w:r>
          </w:p>
        </w:tc>
      </w:tr>
    </w:tbl>
    <w:p w14:paraId="09558535">
      <w:pPr>
        <w:spacing w:line="360" w:lineRule="auto"/>
        <w:ind w:firstLine="400" w:firstLineChars="200"/>
        <w:jc w:val="both"/>
        <w:rPr>
          <w:rFonts w:hint="default" w:ascii="Times New Roman" w:hAnsi="Times New Roman" w:eastAsia="宋体" w:cs="Times New Roman"/>
          <w:sz w:val="20"/>
          <w:szCs w:val="20"/>
          <w:lang w:eastAsia="zh-CN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spacing w:val="0"/>
          <w:sz w:val="20"/>
          <w:szCs w:val="20"/>
          <w:shd w:val="clear" w:fill="FFFFFF"/>
        </w:rPr>
        <w:t>Note: db_count refers to the number of databases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.</w:t>
      </w:r>
    </w:p>
    <w:p w14:paraId="08531475">
      <w:pPr>
        <w:spacing w:line="360" w:lineRule="auto"/>
        <w:ind w:firstLine="400" w:firstLineChars="200"/>
        <w:jc w:val="center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CA63851">
      <w:pPr>
        <w:spacing w:line="360" w:lineRule="auto"/>
        <w:ind w:firstLine="482" w:firstLineChars="200"/>
        <w:jc w:val="center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Table S3.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The minimum binding energy values for active ingredient-target pairs.</w:t>
      </w:r>
    </w:p>
    <w:tbl>
      <w:tblPr>
        <w:tblStyle w:val="5"/>
        <w:tblW w:w="7973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2613"/>
        <w:gridCol w:w="3883"/>
      </w:tblGrid>
      <w:tr w14:paraId="5CC542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04EE69B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lang w:val="en-US" w:eastAsia="zh-CN"/>
              </w:rPr>
              <w:t>Gene</w:t>
            </w:r>
          </w:p>
        </w:tc>
        <w:tc>
          <w:tcPr>
            <w:tcW w:w="2613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76FAFD6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lang w:val="en-US" w:eastAsia="zh-CN"/>
              </w:rPr>
              <w:t>Drug</w:t>
            </w:r>
          </w:p>
        </w:tc>
        <w:tc>
          <w:tcPr>
            <w:tcW w:w="3883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2067D15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lang w:val="en-US" w:eastAsia="zh-CN"/>
              </w:rPr>
              <w:t>Binding energy（kcal/mol）</w:t>
            </w:r>
          </w:p>
        </w:tc>
      </w:tr>
      <w:tr w14:paraId="462AA76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9D13D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SPP1</w:t>
            </w:r>
          </w:p>
        </w:tc>
        <w:tc>
          <w:tcPr>
            <w:tcW w:w="26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07CB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Quercetin</w:t>
            </w:r>
          </w:p>
        </w:tc>
        <w:tc>
          <w:tcPr>
            <w:tcW w:w="388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EFB1A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-6.5</w:t>
            </w:r>
          </w:p>
        </w:tc>
      </w:tr>
      <w:tr w14:paraId="496DDA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D473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MMP3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EB14D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Quercetin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5F772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-8.6</w:t>
            </w:r>
          </w:p>
        </w:tc>
      </w:tr>
      <w:tr w14:paraId="13F28E9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B9E99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MMP3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9388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Berberine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1459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-7.1</w:t>
            </w:r>
          </w:p>
        </w:tc>
      </w:tr>
      <w:tr w14:paraId="57C97F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CA85B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TNFSF11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C21A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Berberine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E9EA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-6.4</w:t>
            </w:r>
          </w:p>
        </w:tc>
      </w:tr>
      <w:tr w14:paraId="30FFC05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D98F1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TNFSF11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58C9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Dimethyl Fumarate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04097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-4.4</w:t>
            </w:r>
          </w:p>
        </w:tc>
      </w:tr>
      <w:tr w14:paraId="11A5A6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B3EF9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MMP7</w:t>
            </w: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95E06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Trigonelline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C51A0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-5.0</w:t>
            </w:r>
          </w:p>
        </w:tc>
      </w:tr>
      <w:tr w14:paraId="4561E1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389EC3D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SPP1</w:t>
            </w:r>
          </w:p>
        </w:tc>
        <w:tc>
          <w:tcPr>
            <w:tcW w:w="26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5650A1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3-Carene</w:t>
            </w:r>
          </w:p>
        </w:tc>
        <w:tc>
          <w:tcPr>
            <w:tcW w:w="38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6174056">
            <w:pPr>
              <w:spacing w:line="360" w:lineRule="auto"/>
              <w:ind w:firstLine="400" w:firstLineChars="200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 w:eastAsia="zh-CN"/>
              </w:rPr>
              <w:t>-4.9</w:t>
            </w:r>
          </w:p>
        </w:tc>
      </w:tr>
    </w:tbl>
    <w:p w14:paraId="20A423D6">
      <w:pPr>
        <w:spacing w:line="360" w:lineRule="auto"/>
        <w:ind w:firstLine="400" w:firstLineChars="200"/>
        <w:jc w:val="center"/>
        <w:rPr>
          <w:rFonts w:hint="default" w:ascii="Times New Roman" w:hAnsi="Times New Roman" w:eastAsia="Times New Roman" w:cs="Times New Roman"/>
          <w:color w:val="auto"/>
          <w:sz w:val="20"/>
          <w:szCs w:val="20"/>
          <w:lang w:eastAsia="zh-CN"/>
        </w:rPr>
      </w:pPr>
    </w:p>
    <w:p w14:paraId="294490E3">
      <w:pPr>
        <w:spacing w:line="360" w:lineRule="auto"/>
        <w:ind w:firstLine="480" w:firstLineChars="200"/>
        <w:jc w:val="center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zh-CN"/>
        </w:rPr>
        <w:t xml:space="preserve">Table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en-US" w:eastAsia="zh-CN"/>
        </w:rPr>
        <w:t>S4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eastAsia="zh-CN"/>
        </w:rPr>
        <w:t>.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zh-CN"/>
        </w:rPr>
        <w:t xml:space="preserve"> The marker genes involved in identifying cell types.</w:t>
      </w:r>
    </w:p>
    <w:bookmarkEnd w:id="0"/>
    <w:tbl>
      <w:tblPr>
        <w:tblStyle w:val="5"/>
        <w:tblpPr w:leftFromText="180" w:rightFromText="180" w:vertAnchor="text" w:horzAnchor="page" w:tblpX="2662" w:tblpY="4"/>
        <w:tblOverlap w:val="never"/>
        <w:tblW w:w="707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4916"/>
      </w:tblGrid>
      <w:tr w14:paraId="13C1D9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89B7774">
            <w:pPr>
              <w:spacing w:line="360" w:lineRule="auto"/>
              <w:ind w:firstLine="402" w:firstLineChars="20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Cell type</w:t>
            </w:r>
          </w:p>
        </w:tc>
        <w:tc>
          <w:tcPr>
            <w:tcW w:w="4916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417D725">
            <w:pPr>
              <w:spacing w:line="360" w:lineRule="auto"/>
              <w:ind w:firstLine="402" w:firstLineChars="20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Marker genes</w:t>
            </w:r>
          </w:p>
        </w:tc>
      </w:tr>
      <w:tr w14:paraId="0FE020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20B64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Endocrine</w:t>
            </w:r>
          </w:p>
        </w:tc>
        <w:tc>
          <w:tcPr>
            <w:tcW w:w="491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E31C2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GAST,SST,GHRL</w:t>
            </w:r>
          </w:p>
        </w:tc>
      </w:tr>
      <w:tr w14:paraId="55398E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23A3C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secretory cells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D5A1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MUC5AC,MUC6,ATP4A,ATP4B,GIF</w:t>
            </w:r>
          </w:p>
        </w:tc>
      </w:tr>
      <w:tr w14:paraId="593CD3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634AB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 cells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13E8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CD2,CD3D,CD3E,CD3G</w:t>
            </w:r>
          </w:p>
        </w:tc>
      </w:tr>
      <w:tr w14:paraId="465332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D43E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 cells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5B8EB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CD79A,CD19</w:t>
            </w:r>
          </w:p>
        </w:tc>
      </w:tr>
      <w:tr w14:paraId="7B0C57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E0181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Mast cells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16BCF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TPSAB1,TPSB2</w:t>
            </w:r>
          </w:p>
        </w:tc>
      </w:tr>
      <w:tr w14:paraId="796975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23C9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Macrophage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21596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CD14,CD163,CD68,CSF1R</w:t>
            </w:r>
          </w:p>
        </w:tc>
      </w:tr>
      <w:tr w14:paraId="59C3DC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4E703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Fibroblast</w:t>
            </w: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7C23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PDPN,COL1A2,DCN,COL3A1,COL6A1</w:t>
            </w:r>
          </w:p>
        </w:tc>
      </w:tr>
      <w:tr w14:paraId="7F3BF0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0698EC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Endothelial</w:t>
            </w:r>
          </w:p>
        </w:tc>
        <w:tc>
          <w:tcPr>
            <w:tcW w:w="4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D937A0">
            <w:pPr>
              <w:spacing w:line="360" w:lineRule="auto"/>
              <w:ind w:firstLine="400" w:firstLineChars="20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PECAM1,VWF</w:t>
            </w:r>
          </w:p>
        </w:tc>
      </w:tr>
    </w:tbl>
    <w:p w14:paraId="69B834DD">
      <w:pPr>
        <w:spacing w:line="360" w:lineRule="auto"/>
        <w:jc w:val="both"/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 w14:paraId="2BB30A5F">
      <w:pPr>
        <w:spacing w:line="360" w:lineRule="auto"/>
        <w:ind w:firstLine="400" w:firstLineChars="200"/>
        <w:jc w:val="both"/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 w14:paraId="6896E30C">
      <w:pPr>
        <w:spacing w:line="360" w:lineRule="auto"/>
        <w:jc w:val="both"/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 w14:paraId="5F087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beforeAutospacing="0" w:afterLines="0" w:afterAutospacing="0" w:line="360" w:lineRule="auto"/>
        <w:ind w:left="0" w:leftChars="0" w:firstLine="400" w:firstLineChars="200"/>
        <w:jc w:val="both"/>
        <w:textAlignment w:val="auto"/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 w14:paraId="45CF43AB">
      <w:pPr>
        <w:spacing w:line="360" w:lineRule="auto"/>
        <w:ind w:firstLine="420" w:firstLineChars="0"/>
        <w:jc w:val="center"/>
        <w:outlineLvl w:val="1"/>
        <w:rPr>
          <w:rFonts w:hint="default" w:ascii="Times New Roman" w:hAnsi="Times New Roman" w:cs="Times New Roman" w:eastAsiaTheme="minorEastAsia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</w:p>
    <w:p w14:paraId="32183A9B">
      <w:pPr>
        <w:spacing w:line="360" w:lineRule="auto"/>
        <w:ind w:firstLine="420" w:firstLineChars="0"/>
        <w:jc w:val="center"/>
        <w:outlineLvl w:val="1"/>
        <w:rPr>
          <w:rFonts w:hint="default" w:ascii="Times New Roman" w:hAnsi="Times New Roman" w:cs="Times New Roman" w:eastAsiaTheme="minorEastAsia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</w:p>
    <w:p w14:paraId="74499157">
      <w:pPr>
        <w:spacing w:line="360" w:lineRule="auto"/>
        <w:ind w:firstLine="420" w:firstLineChars="0"/>
        <w:jc w:val="center"/>
        <w:outlineLvl w:val="1"/>
        <w:rPr>
          <w:rFonts w:hint="default" w:ascii="Times New Roman" w:hAnsi="Times New Roman" w:cs="Times New Roman" w:eastAsiaTheme="minorEastAsia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</w:p>
    <w:p w14:paraId="78CE99B3">
      <w:pPr>
        <w:spacing w:line="360" w:lineRule="auto"/>
        <w:ind w:firstLine="420" w:firstLineChars="0"/>
        <w:jc w:val="center"/>
        <w:outlineLvl w:val="1"/>
        <w:rPr>
          <w:rFonts w:hint="default" w:ascii="Times New Roman" w:hAnsi="Times New Roman" w:cs="Times New Roman" w:eastAsiaTheme="minorEastAsia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</w:p>
    <w:p w14:paraId="4565CFB6">
      <w:pPr>
        <w:spacing w:line="360" w:lineRule="auto"/>
        <w:ind w:firstLine="420" w:firstLineChars="0"/>
        <w:jc w:val="center"/>
        <w:outlineLvl w:val="1"/>
        <w:rPr>
          <w:rFonts w:hint="default" w:ascii="Times New Roman" w:hAnsi="Times New Roman" w:cs="Times New Roman" w:eastAsiaTheme="minorEastAsia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</w:p>
    <w:p w14:paraId="48397109">
      <w:pPr>
        <w:spacing w:line="360" w:lineRule="auto"/>
        <w:ind w:firstLine="420" w:firstLineChars="0"/>
        <w:jc w:val="center"/>
        <w:outlineLvl w:val="1"/>
        <w:rPr>
          <w:rFonts w:hint="default" w:ascii="Times New Roman" w:hAnsi="Times New Roman" w:cs="Times New Roman" w:eastAsiaTheme="minorEastAsia"/>
          <w:b w:val="0"/>
          <w:bCs w:val="0"/>
          <w:snapToGrid w:val="0"/>
          <w:color w:val="000000"/>
          <w:sz w:val="20"/>
          <w:szCs w:val="20"/>
          <w:lang w:val="en-US" w:eastAsia="zh-CN" w:bidi="ar-SA"/>
        </w:rPr>
      </w:pPr>
    </w:p>
    <w:p w14:paraId="54F5D346">
      <w:pPr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2E5140B0">
      <w:pPr>
        <w:widowControl/>
        <w:rPr>
          <w:rFonts w:hint="default" w:ascii="Times New Roman" w:hAnsi="Times New Roman" w:eastAsia="宋体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100D"/>
    <w:rsid w:val="00172A27"/>
    <w:rsid w:val="00205E28"/>
    <w:rsid w:val="00265F67"/>
    <w:rsid w:val="00302181"/>
    <w:rsid w:val="0038443A"/>
    <w:rsid w:val="00566223"/>
    <w:rsid w:val="00612414"/>
    <w:rsid w:val="007E1922"/>
    <w:rsid w:val="007E2192"/>
    <w:rsid w:val="00866021"/>
    <w:rsid w:val="00925650"/>
    <w:rsid w:val="00AC3220"/>
    <w:rsid w:val="00CA2534"/>
    <w:rsid w:val="00CA42DC"/>
    <w:rsid w:val="00DB03CC"/>
    <w:rsid w:val="00F075DB"/>
    <w:rsid w:val="00F12FEB"/>
    <w:rsid w:val="00FE587B"/>
    <w:rsid w:val="00FE5DE6"/>
    <w:rsid w:val="014A2DD9"/>
    <w:rsid w:val="02F02D34"/>
    <w:rsid w:val="038D3451"/>
    <w:rsid w:val="052A53FB"/>
    <w:rsid w:val="06C913B1"/>
    <w:rsid w:val="092F499C"/>
    <w:rsid w:val="0AC13FCF"/>
    <w:rsid w:val="0D9E2DA1"/>
    <w:rsid w:val="0DD423A8"/>
    <w:rsid w:val="0F296723"/>
    <w:rsid w:val="10562635"/>
    <w:rsid w:val="14506500"/>
    <w:rsid w:val="14DF1632"/>
    <w:rsid w:val="16B32D77"/>
    <w:rsid w:val="1773738B"/>
    <w:rsid w:val="18155A97"/>
    <w:rsid w:val="1B974A15"/>
    <w:rsid w:val="1BD66EC5"/>
    <w:rsid w:val="1E0513AB"/>
    <w:rsid w:val="1E4C5F8A"/>
    <w:rsid w:val="1EB8717C"/>
    <w:rsid w:val="1F0625DD"/>
    <w:rsid w:val="21661111"/>
    <w:rsid w:val="23AD1279"/>
    <w:rsid w:val="25983BE4"/>
    <w:rsid w:val="25F767DC"/>
    <w:rsid w:val="27E965F8"/>
    <w:rsid w:val="2BAB4973"/>
    <w:rsid w:val="2BD63337"/>
    <w:rsid w:val="2C44754C"/>
    <w:rsid w:val="2D4367AA"/>
    <w:rsid w:val="2DC5317C"/>
    <w:rsid w:val="2FDC48F6"/>
    <w:rsid w:val="326E6AAE"/>
    <w:rsid w:val="33615BDC"/>
    <w:rsid w:val="38B92017"/>
    <w:rsid w:val="39C71BA6"/>
    <w:rsid w:val="3A0A276F"/>
    <w:rsid w:val="3D956BAE"/>
    <w:rsid w:val="3E481E73"/>
    <w:rsid w:val="3F820844"/>
    <w:rsid w:val="3FFB3580"/>
    <w:rsid w:val="402661E4"/>
    <w:rsid w:val="427F4E2D"/>
    <w:rsid w:val="46592743"/>
    <w:rsid w:val="479E6FA7"/>
    <w:rsid w:val="48AF154D"/>
    <w:rsid w:val="48B40F64"/>
    <w:rsid w:val="499E328F"/>
    <w:rsid w:val="4A293B9C"/>
    <w:rsid w:val="4A5A3971"/>
    <w:rsid w:val="4CE23492"/>
    <w:rsid w:val="4D7F5185"/>
    <w:rsid w:val="4E353A96"/>
    <w:rsid w:val="52377019"/>
    <w:rsid w:val="54AB4AB2"/>
    <w:rsid w:val="56636D97"/>
    <w:rsid w:val="56701B0F"/>
    <w:rsid w:val="58693F0C"/>
    <w:rsid w:val="5B3255E5"/>
    <w:rsid w:val="5BC1403A"/>
    <w:rsid w:val="5CEC01C7"/>
    <w:rsid w:val="5D170F36"/>
    <w:rsid w:val="60E10379"/>
    <w:rsid w:val="61897F29"/>
    <w:rsid w:val="62CA07F9"/>
    <w:rsid w:val="639826A5"/>
    <w:rsid w:val="63F41FD1"/>
    <w:rsid w:val="67A71109"/>
    <w:rsid w:val="69F83E9D"/>
    <w:rsid w:val="6BEE5558"/>
    <w:rsid w:val="6C044D7B"/>
    <w:rsid w:val="6C7A6DEC"/>
    <w:rsid w:val="6D806684"/>
    <w:rsid w:val="705160B5"/>
    <w:rsid w:val="719B1CDE"/>
    <w:rsid w:val="726C367A"/>
    <w:rsid w:val="744877CF"/>
    <w:rsid w:val="75FD694D"/>
    <w:rsid w:val="76460A4C"/>
    <w:rsid w:val="787B583F"/>
    <w:rsid w:val="78AA6B87"/>
    <w:rsid w:val="78DC3B75"/>
    <w:rsid w:val="78E1336D"/>
    <w:rsid w:val="79183C14"/>
    <w:rsid w:val="795A7577"/>
    <w:rsid w:val="7A0D4DB1"/>
    <w:rsid w:val="7CE54755"/>
    <w:rsid w:val="7FA5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character" w:customStyle="1" w:styleId="11">
    <w:name w:val="font11"/>
    <w:basedOn w:val="7"/>
    <w:qFormat/>
    <w:uiPriority w:val="0"/>
    <w:rPr>
      <w:rFonts w:hint="default" w:ascii="Arial" w:hAnsi="Arial" w:cs="Arial"/>
      <w:color w:val="111827"/>
      <w:sz w:val="24"/>
      <w:szCs w:val="24"/>
      <w:u w:val="none"/>
    </w:rPr>
  </w:style>
  <w:style w:type="character" w:customStyle="1" w:styleId="12">
    <w:name w:val="font21"/>
    <w:basedOn w:val="7"/>
    <w:qFormat/>
    <w:uiPriority w:val="0"/>
    <w:rPr>
      <w:rFonts w:hint="default" w:ascii="Arial" w:hAnsi="Arial" w:cs="Arial"/>
      <w:color w:val="111827"/>
      <w:sz w:val="18"/>
      <w:szCs w:val="18"/>
      <w:u w:val="none"/>
      <w:vertAlign w:val="subscript"/>
    </w:rPr>
  </w:style>
  <w:style w:type="character" w:customStyle="1" w:styleId="13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customStyle="1" w:styleId="15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8">
    <w:name w:val="MDPI_4.2_table_body"/>
    <w:qFormat/>
    <w:uiPriority w:val="0"/>
    <w:pPr>
      <w:adjustRightInd w:val="0"/>
      <w:snapToGrid w:val="0"/>
      <w:spacing w:line="260" w:lineRule="atLeast"/>
      <w:jc w:val="center"/>
    </w:pPr>
    <w:rPr>
      <w:rFonts w:ascii="Palatino Linotype" w:hAnsi="Palatino Linotype" w:eastAsia="Times New Roman" w:cs="Times New Roman"/>
      <w:snapToGrid w:val="0"/>
      <w:color w:val="000000"/>
      <w:lang w:val="en-US" w:eastAsia="de-DE" w:bidi="en-US"/>
    </w:rPr>
  </w:style>
  <w:style w:type="paragraph" w:customStyle="1" w:styleId="19">
    <w:name w:val="MDPI_4.1_table_caption"/>
    <w:qFormat/>
    <w:uiPriority w:val="0"/>
    <w:pPr>
      <w:adjustRightInd w:val="0"/>
      <w:snapToGrid w:val="0"/>
      <w:spacing w:before="240" w:after="120" w:line="280" w:lineRule="atLeast"/>
      <w:ind w:left="2608"/>
      <w:jc w:val="both"/>
    </w:pPr>
    <w:rPr>
      <w:rFonts w:ascii="Palatino Linotype" w:hAnsi="Palatino Linotype" w:eastAsia="Times New Roman" w:cs="Cordia New"/>
      <w:color w:val="000000"/>
      <w:sz w:val="18"/>
      <w:szCs w:val="22"/>
      <w:lang w:val="en-US" w:eastAsia="de-DE" w:bidi="en-US"/>
    </w:rPr>
  </w:style>
  <w:style w:type="paragraph" w:customStyle="1" w:styleId="20">
    <w:name w:val="MDPI_1.2_title"/>
    <w:next w:val="1"/>
    <w:unhideWhenUsed/>
    <w:qFormat/>
    <w:uiPriority w:val="0"/>
    <w:pPr>
      <w:adjustRightInd w:val="0"/>
      <w:snapToGrid w:val="0"/>
      <w:spacing w:beforeLines="0" w:after="240" w:afterLines="0" w:line="240" w:lineRule="atLeast"/>
    </w:pPr>
    <w:rPr>
      <w:rFonts w:hint="default" w:ascii="Palatino Linotype" w:hAnsi="Palatino Linotype" w:eastAsia="Times New Roman" w:cs="Times New Roman"/>
      <w:b/>
      <w:snapToGrid w:val="0"/>
      <w:color w:val="000000"/>
      <w:sz w:val="36"/>
      <w:szCs w:val="24"/>
      <w:lang w:val="en-US" w:eastAsia="de-DE" w:bidi="en-US"/>
    </w:rPr>
  </w:style>
  <w:style w:type="paragraph" w:customStyle="1" w:styleId="21">
    <w:name w:val="MDPI_1.3_authornames"/>
    <w:next w:val="1"/>
    <w:unhideWhenUsed/>
    <w:qFormat/>
    <w:uiPriority w:val="0"/>
    <w:pPr>
      <w:adjustRightInd w:val="0"/>
      <w:snapToGrid w:val="0"/>
      <w:spacing w:beforeLines="0" w:after="360" w:afterLines="0" w:line="260" w:lineRule="atLeast"/>
    </w:pPr>
    <w:rPr>
      <w:rFonts w:hint="default" w:ascii="Palatino Linotype" w:hAnsi="Palatino Linotype" w:eastAsia="Times New Roman" w:cs="Times New Roman"/>
      <w:b/>
      <w:color w:val="000000"/>
      <w:sz w:val="24"/>
      <w:szCs w:val="22"/>
      <w:lang w:val="en-US" w:eastAsia="de-DE" w:bidi="en-US"/>
    </w:rPr>
  </w:style>
  <w:style w:type="paragraph" w:customStyle="1" w:styleId="22">
    <w:name w:val="MDPI_7.2_copyright"/>
    <w:unhideWhenUsed/>
    <w:qFormat/>
    <w:uiPriority w:val="0"/>
    <w:pPr>
      <w:adjustRightInd w:val="0"/>
      <w:snapToGrid w:val="0"/>
      <w:spacing w:before="120" w:beforeLines="0" w:afterLines="0" w:line="240" w:lineRule="atLeast"/>
      <w:ind w:right="113"/>
    </w:pPr>
    <w:rPr>
      <w:rFonts w:hint="default" w:ascii="Palatino Linotype" w:hAnsi="Palatino Linotype" w:eastAsia="Times New Roman" w:cs="Times New Roman"/>
      <w:snapToGrid w:val="0"/>
      <w:color w:val="000000"/>
      <w:sz w:val="14"/>
      <w:szCs w:val="24"/>
      <w:lang w:val="en-GB" w:eastAsia="en-GB" w:bidi="ar-SA"/>
    </w:rPr>
  </w:style>
  <w:style w:type="paragraph" w:customStyle="1" w:styleId="23">
    <w:name w:val="MDPI_1.4_history"/>
    <w:basedOn w:val="1"/>
    <w:next w:val="1"/>
    <w:unhideWhenUsed/>
    <w:qFormat/>
    <w:uiPriority w:val="0"/>
    <w:pPr>
      <w:adjustRightInd w:val="0"/>
      <w:snapToGrid w:val="0"/>
      <w:spacing w:beforeLines="0" w:afterLines="0" w:line="240" w:lineRule="atLeast"/>
      <w:ind w:right="113"/>
      <w:jc w:val="left"/>
    </w:pPr>
    <w:rPr>
      <w:rFonts w:hint="default" w:eastAsia="Times New Roman"/>
      <w:sz w:val="14"/>
      <w:szCs w:val="24"/>
      <w:lang w:eastAsia="de-DE" w:bidi="en-US"/>
    </w:rPr>
  </w:style>
  <w:style w:type="paragraph" w:customStyle="1" w:styleId="24">
    <w:name w:val="MDPI_6.1_citation"/>
    <w:unhideWhenUsed/>
    <w:qFormat/>
    <w:uiPriority w:val="0"/>
    <w:pPr>
      <w:adjustRightInd w:val="0"/>
      <w:snapToGrid w:val="0"/>
      <w:spacing w:before="120" w:beforeLines="0" w:after="120" w:afterLines="0" w:line="240" w:lineRule="atLeast"/>
      <w:ind w:right="113"/>
    </w:pPr>
    <w:rPr>
      <w:rFonts w:hint="default" w:ascii="Palatino Linotype" w:hAnsi="Palatino Linotype" w:eastAsia="宋体" w:cs="Cordia New"/>
      <w:sz w:val="14"/>
      <w:szCs w:val="22"/>
      <w:lang w:val="en-US" w:eastAsia="zh-CN" w:bidi="ar-SA"/>
    </w:rPr>
  </w:style>
  <w:style w:type="paragraph" w:customStyle="1" w:styleId="25">
    <w:name w:val="MDPI_1.6_affiliation"/>
    <w:unhideWhenUsed/>
    <w:qFormat/>
    <w:uiPriority w:val="0"/>
    <w:pPr>
      <w:adjustRightInd w:val="0"/>
      <w:snapToGrid w:val="0"/>
      <w:spacing w:beforeLines="0" w:afterLines="0" w:line="200" w:lineRule="atLeast"/>
      <w:ind w:left="2806" w:hanging="198"/>
    </w:pPr>
    <w:rPr>
      <w:rFonts w:hint="default" w:ascii="Palatino Linotype" w:hAnsi="Palatino Linotype" w:eastAsia="Times New Roman" w:cs="Times New Roman"/>
      <w:color w:val="000000"/>
      <w:sz w:val="16"/>
      <w:szCs w:val="18"/>
      <w:lang w:val="en-US" w:eastAsia="de-DE" w:bidi="en-US"/>
    </w:rPr>
  </w:style>
  <w:style w:type="paragraph" w:customStyle="1" w:styleId="26">
    <w:name w:val="MDPI_3.1_text"/>
    <w:qFormat/>
    <w:uiPriority w:val="0"/>
    <w:pPr>
      <w:adjustRightInd w:val="0"/>
      <w:snapToGrid w:val="0"/>
      <w:spacing w:line="280" w:lineRule="atLeast"/>
      <w:ind w:left="2608" w:firstLine="425"/>
      <w:jc w:val="both"/>
    </w:pPr>
    <w:rPr>
      <w:rFonts w:ascii="Palatino Linotype" w:hAnsi="Palatino Linotype" w:eastAsia="Times New Roman" w:cs="Times New Roman"/>
      <w:snapToGrid w:val="0"/>
      <w:color w:val="000000"/>
      <w:szCs w:val="22"/>
      <w:lang w:val="en-US" w:eastAsia="de-DE" w:bidi="en-US"/>
    </w:rPr>
  </w:style>
  <w:style w:type="paragraph" w:customStyle="1" w:styleId="27">
    <w:name w:val="MDPI_1.1_article_type"/>
    <w:next w:val="1"/>
    <w:qFormat/>
    <w:uiPriority w:val="0"/>
    <w:pPr>
      <w:adjustRightInd w:val="0"/>
      <w:snapToGrid w:val="0"/>
      <w:spacing w:before="240"/>
    </w:pPr>
    <w:rPr>
      <w:rFonts w:ascii="Palatino Linotype" w:hAnsi="Palatino Linotype" w:eastAsia="Times New Roman" w:cs="Times New Roman"/>
      <w:i/>
      <w:snapToGrid w:val="0"/>
      <w:color w:val="000000"/>
      <w:szCs w:val="22"/>
      <w:lang w:val="en-US"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C9AA1-1ED5-408E-B0C6-F81BFAB4DE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229</Words>
  <Characters>1604</Characters>
  <Lines>251</Lines>
  <Paragraphs>215</Paragraphs>
  <TotalTime>7</TotalTime>
  <ScaleCrop>false</ScaleCrop>
  <LinksUpToDate>false</LinksUpToDate>
  <CharactersWithSpaces>1715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2025-09-19T08:07:00Z</dcterms:created>
  <dc:creator>lenovo</dc:creator>
  <cp:lastModifiedBy>分享</cp:lastModifiedBy>
  <dcterms:modified xsi:type="dcterms:W3CDTF">2026-08-16T08:12:45Z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eyJoZGlkIjoiNDc1OTEzOTJjNjAwZjBiMWQxODc4OTQ0OWQ2YTVhYWIiLCJ1c2VySWQiOiIzOTc0NzE3OTgifQ==</vt:lpwstr>
  </property>
  <property fmtid="{D5CDD505-2E9C-101B-9397-08002B2CF9AE}" pid="4" name="ICV">
    <vt:lpwstr>A797A46B162140ADA682532473A590A2_13</vt:lpwstr>
  </property>
</Properties>
</file>